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F7" w:rsidRDefault="006D55F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июля 2022 г. N 69275</w:t>
      </w:r>
    </w:p>
    <w:p w:rsidR="006D55F7" w:rsidRDefault="006D55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5F7" w:rsidRDefault="006D55F7">
      <w:pPr>
        <w:pStyle w:val="ConsPlusNormal"/>
      </w:pPr>
    </w:p>
    <w:p w:rsidR="006D55F7" w:rsidRDefault="006D55F7">
      <w:pPr>
        <w:pStyle w:val="ConsPlusTitle"/>
        <w:jc w:val="center"/>
      </w:pPr>
      <w:r>
        <w:t>ФЕДЕРАЛЬНАЯ СЛУЖБА ГОСУДАРСТВЕННОЙ РЕГИСТРАЦИИ,</w:t>
      </w:r>
    </w:p>
    <w:p w:rsidR="006D55F7" w:rsidRDefault="006D55F7">
      <w:pPr>
        <w:pStyle w:val="ConsPlusTitle"/>
        <w:jc w:val="center"/>
      </w:pPr>
      <w:r>
        <w:t>КАДАСТРА И КАРТОГРАФИИ</w:t>
      </w:r>
    </w:p>
    <w:p w:rsidR="006D55F7" w:rsidRDefault="006D55F7">
      <w:pPr>
        <w:pStyle w:val="ConsPlusTitle"/>
        <w:jc w:val="center"/>
      </w:pPr>
    </w:p>
    <w:p w:rsidR="006D55F7" w:rsidRDefault="006D55F7">
      <w:pPr>
        <w:pStyle w:val="ConsPlusTitle"/>
        <w:jc w:val="center"/>
      </w:pPr>
      <w:r>
        <w:t>ПРИКАЗ</w:t>
      </w:r>
    </w:p>
    <w:p w:rsidR="006D55F7" w:rsidRDefault="006D55F7">
      <w:pPr>
        <w:pStyle w:val="ConsPlusTitle"/>
        <w:jc w:val="center"/>
      </w:pPr>
      <w:r>
        <w:t>от 14 июня 2022 г. N П/0226</w:t>
      </w:r>
    </w:p>
    <w:p w:rsidR="006D55F7" w:rsidRDefault="006D55F7">
      <w:pPr>
        <w:pStyle w:val="ConsPlusTitle"/>
        <w:jc w:val="center"/>
      </w:pPr>
    </w:p>
    <w:p w:rsidR="006D55F7" w:rsidRDefault="006D55F7">
      <w:pPr>
        <w:pStyle w:val="ConsPlusTitle"/>
        <w:jc w:val="center"/>
      </w:pPr>
      <w:r>
        <w:t>ОБ УСТАНОВЛЕНИИ</w:t>
      </w:r>
    </w:p>
    <w:p w:rsidR="006D55F7" w:rsidRDefault="006D55F7">
      <w:pPr>
        <w:pStyle w:val="ConsPlusTitle"/>
        <w:jc w:val="center"/>
      </w:pPr>
      <w:r>
        <w:t>КРИТЕРИЕВ СООТВЕТСТВИЯ МЕТОДИЧЕСКИМ УКАЗАНИЯМ</w:t>
      </w:r>
    </w:p>
    <w:p w:rsidR="006D55F7" w:rsidRDefault="006D55F7">
      <w:pPr>
        <w:pStyle w:val="ConsPlusTitle"/>
        <w:jc w:val="center"/>
      </w:pPr>
      <w:r>
        <w:t>О ГОСУДАРСТВЕННОЙ КАДАСТРОВОЙ ОЦЕНКЕ ПРОЕКТА ОТЧЕТА,</w:t>
      </w:r>
    </w:p>
    <w:p w:rsidR="006D55F7" w:rsidRDefault="006D55F7">
      <w:pPr>
        <w:pStyle w:val="ConsPlusTitle"/>
        <w:jc w:val="center"/>
      </w:pPr>
      <w:r>
        <w:t>ОБНОВЛЕННОЙ ВЕРСИИ ПРОЕКТА ОТЧЕТА, СОСТАВЛЕННЫХ БЮДЖЕТНЫМ</w:t>
      </w:r>
    </w:p>
    <w:p w:rsidR="006D55F7" w:rsidRDefault="006D55F7">
      <w:pPr>
        <w:pStyle w:val="ConsPlusTitle"/>
        <w:jc w:val="center"/>
      </w:pPr>
      <w:r>
        <w:t>УЧРЕЖДЕНИЕМ, СОЗДАННЫМ СУБЪЕКТОМ РОССИЙСКОЙ ФЕДЕРАЦИИ</w:t>
      </w:r>
    </w:p>
    <w:p w:rsidR="006D55F7" w:rsidRDefault="006D55F7">
      <w:pPr>
        <w:pStyle w:val="ConsPlusTitle"/>
        <w:jc w:val="center"/>
      </w:pPr>
      <w:r>
        <w:t>И НАДЕЛЕННЫМ ПОЛНОМОЧИЯМИ, СВЯЗАННЫМИ С ОПРЕДЕЛЕНИЕМ</w:t>
      </w:r>
    </w:p>
    <w:p w:rsidR="006D55F7" w:rsidRDefault="006D55F7">
      <w:pPr>
        <w:pStyle w:val="ConsPlusTitle"/>
        <w:jc w:val="center"/>
      </w:pPr>
      <w:r>
        <w:t>КАДАСТРОВОЙ СТОИМОСТИ</w:t>
      </w:r>
    </w:p>
    <w:p w:rsidR="006D55F7" w:rsidRDefault="006D55F7">
      <w:pPr>
        <w:pStyle w:val="ConsPlusNormal"/>
        <w:ind w:firstLine="540"/>
        <w:jc w:val="both"/>
      </w:pPr>
    </w:p>
    <w:p w:rsidR="006D55F7" w:rsidRDefault="006D55F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29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5028),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 xml:space="preserve">1. Установить критерии соответствия методическим указаниям о государственной кадастровой оценке проекта отчета, обновленной версии проекта отчета, составленных бюджетным учреждением, созданным субъектом Российской Федерации и наделенным полномочиями, связанными с определением кадастровой стоимости,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Росреестра от 6 августа 2020 г. N П/0279 "Об установлении критериев соответствия методическим указаниям о государственной кадастровой оценке проекта отчета, обновленной версии проекта отчета, подготовленных бюджетным учреждением, созданным субъектом Российской Федерации и наделенным полномочиями, связанными с определением кадастровой стоимости" (зарегистрирован Минюстом России 1 октября 2020 г., регистрационный N 60179).</w:t>
      </w: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right"/>
      </w:pPr>
      <w:r>
        <w:t>Руководитель</w:t>
      </w:r>
    </w:p>
    <w:p w:rsidR="006D55F7" w:rsidRDefault="006D55F7">
      <w:pPr>
        <w:pStyle w:val="ConsPlusNormal"/>
        <w:jc w:val="right"/>
      </w:pPr>
      <w:r>
        <w:t>О.А.СКУФИНСКИЙ</w:t>
      </w: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jc w:val="right"/>
        <w:outlineLvl w:val="0"/>
      </w:pPr>
      <w:r>
        <w:t>Приложение</w:t>
      </w:r>
    </w:p>
    <w:p w:rsidR="006D55F7" w:rsidRDefault="006D55F7">
      <w:pPr>
        <w:pStyle w:val="ConsPlusNormal"/>
        <w:jc w:val="right"/>
      </w:pPr>
      <w:r>
        <w:t>к приказу Росреестра</w:t>
      </w:r>
    </w:p>
    <w:p w:rsidR="006D55F7" w:rsidRDefault="006D55F7">
      <w:pPr>
        <w:pStyle w:val="ConsPlusNormal"/>
        <w:jc w:val="right"/>
      </w:pPr>
      <w:r>
        <w:t>от 14 июня 2022 г. N П/0226</w:t>
      </w: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Title"/>
        <w:jc w:val="center"/>
      </w:pPr>
      <w:bookmarkStart w:id="1" w:name="P33"/>
      <w:bookmarkEnd w:id="1"/>
      <w:r>
        <w:t>КРИТЕРИИ</w:t>
      </w:r>
    </w:p>
    <w:p w:rsidR="006D55F7" w:rsidRDefault="006D55F7">
      <w:pPr>
        <w:pStyle w:val="ConsPlusTitle"/>
        <w:jc w:val="center"/>
      </w:pPr>
      <w:r>
        <w:t>СООТВЕТСТВИЯ МЕТОДИЧЕСКИМ УКАЗАНИЯМ</w:t>
      </w:r>
    </w:p>
    <w:p w:rsidR="006D55F7" w:rsidRDefault="006D55F7">
      <w:pPr>
        <w:pStyle w:val="ConsPlusTitle"/>
        <w:jc w:val="center"/>
      </w:pPr>
      <w:r>
        <w:t>О ГОСУДАРСТВЕННОЙ КАДАСТРОВОЙ ОЦЕНКЕ ПРОЕКТА ОТЧЕТА,</w:t>
      </w:r>
    </w:p>
    <w:p w:rsidR="006D55F7" w:rsidRDefault="006D55F7">
      <w:pPr>
        <w:pStyle w:val="ConsPlusTitle"/>
        <w:jc w:val="center"/>
      </w:pPr>
      <w:r>
        <w:t>ОБНОВЛЕННОЙ ВЕРСИИ ПРОЕКТА ОТЧЕТА, СОСТАВЛЕННЫХ БЮДЖЕТНЫМ</w:t>
      </w:r>
    </w:p>
    <w:p w:rsidR="006D55F7" w:rsidRDefault="006D55F7">
      <w:pPr>
        <w:pStyle w:val="ConsPlusTitle"/>
        <w:jc w:val="center"/>
      </w:pPr>
      <w:r>
        <w:t>УЧРЕЖДЕНИЕМ, СОЗДАННЫМ СУБЪЕКТОМ РОССИЙСКОЙ ФЕДЕРАЦИИ</w:t>
      </w:r>
    </w:p>
    <w:p w:rsidR="006D55F7" w:rsidRDefault="006D55F7">
      <w:pPr>
        <w:pStyle w:val="ConsPlusTitle"/>
        <w:jc w:val="center"/>
      </w:pPr>
      <w:r>
        <w:t>И НАДЕЛЕННЫМ ПОЛНОМОЧИЯМИ, СВЯЗАННЫМИ С ОПРЕДЕЛЕНИЕМ</w:t>
      </w:r>
    </w:p>
    <w:p w:rsidR="006D55F7" w:rsidRDefault="006D55F7">
      <w:pPr>
        <w:pStyle w:val="ConsPlusTitle"/>
        <w:jc w:val="center"/>
      </w:pPr>
      <w:r>
        <w:t>КАДАСТРОВОЙ СТОИМОСТИ</w:t>
      </w: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ind w:firstLine="540"/>
        <w:jc w:val="both"/>
      </w:pPr>
      <w:r>
        <w:t xml:space="preserve">При проведении проверки на соответствие Методическим </w:t>
      </w:r>
      <w:hyperlink r:id="rId7">
        <w:r>
          <w:rPr>
            <w:color w:val="0000FF"/>
          </w:rPr>
          <w:t>указаниям</w:t>
        </w:r>
      </w:hyperlink>
      <w:r>
        <w:t xml:space="preserve"> о государственной кадастровой оценке, утвержденным приказом Росреестра от 4 августа 2021 г. N П/0336 &lt;1&gt; (далее - Методические указания), проекта отчета, обновленной версии проекта отчета, составленных бюджетным учреждением, созданным субъектом Российской Федерации и наделенным полномочиями, связанными с определением кадастровой стоимости, федеральным органом исполнительной власти, осуществляющим государственный кадастровый учет и государственную регистрацию прав (далее - орган регистрации прав), применяются следующие критерии: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&lt;1&gt; Зарегистрирован Минюстом России 17 декабря 2021 г., регистрационный N 66421.</w:t>
      </w:r>
    </w:p>
    <w:p w:rsidR="006D55F7" w:rsidRDefault="006D55F7">
      <w:pPr>
        <w:pStyle w:val="ConsPlusNormal"/>
        <w:jc w:val="both"/>
      </w:pPr>
    </w:p>
    <w:p w:rsidR="006D55F7" w:rsidRDefault="006D55F7">
      <w:pPr>
        <w:pStyle w:val="ConsPlusNormal"/>
        <w:ind w:firstLine="540"/>
        <w:jc w:val="both"/>
      </w:pPr>
      <w:r>
        <w:t>1. Наличие обоснования выбора подходов и методов, использованных для определения кадастровой стоимости для групп (подгрупп) объектов недвижимости (</w:t>
      </w:r>
      <w:hyperlink r:id="rId8">
        <w:r>
          <w:rPr>
            <w:color w:val="0000FF"/>
          </w:rPr>
          <w:t>пункт 3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2. Наличие согласования результатов, полученных в случае применения различных подходов к оценке. В случае проведения согласования путем сопоставления результатов, полученных с применением различных подходов, наличие обоснования выбора способа согласования (</w:t>
      </w:r>
      <w:hyperlink r:id="rId9">
        <w:r>
          <w:rPr>
            <w:color w:val="0000FF"/>
          </w:rPr>
          <w:t>пункт 4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 xml:space="preserve">3. Отсутствие в рыночной информации, использованной при определении кадастровой стоимости, сведений о событиях, произошедших после даты определения кадастровой стоимости (по результатам выборочной проверки 0,1% информации от общего объема сведений; </w:t>
      </w:r>
      <w:hyperlink r:id="rId10">
        <w:r>
          <w:rPr>
            <w:color w:val="0000FF"/>
          </w:rPr>
          <w:t>пункт 5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4. Соответствие перечня мероприятий по определению кадастровой стоимости требованиям Методических указаний (</w:t>
      </w:r>
      <w:hyperlink r:id="rId11">
        <w:r>
          <w:rPr>
            <w:color w:val="0000FF"/>
          </w:rPr>
          <w:t>пункт 15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5. Наличие результатов сбора и анализа информации о рынке объектов недвижимости, а также анализа информации, не относящейся непосредственно к объектам недвижимости, подлежащим государственной кадастровой оценке, но влияющей на их стоимость (</w:t>
      </w:r>
      <w:hyperlink r:id="rId12">
        <w:r>
          <w:rPr>
            <w:color w:val="0000FF"/>
          </w:rPr>
          <w:t>глава IV</w:t>
        </w:r>
      </w:hyperlink>
      <w:r>
        <w:t xml:space="preserve"> Методических указаний), в том числе: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обзора факторов, оказывающих влияние на стоимость объектов недвижимости, в том числе экономических, социальных, экологических;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обзора состояния рынка недвижимости (в целом), сегмента (сегментов) рынка объектов недвижимости.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6. Наличие результатов анализа ценообразующих факторов объектов недвижимости (далее - ценообразующие факторы), оказывающих влияние на стоимость объектов недвижимости, в форме таблиц, содержащих состав ценообразующих факторов в сегменте (сегментах) рынка объектов недвижимости, наличие обоснования состава таких ценообразующих факторов (</w:t>
      </w:r>
      <w:hyperlink r:id="rId13">
        <w:r>
          <w:rPr>
            <w:color w:val="0000FF"/>
          </w:rPr>
          <w:t>пункт 26.3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7. Единообразие в структурировании рыночной информации (</w:t>
      </w:r>
      <w:hyperlink r:id="rId14">
        <w:r>
          <w:rPr>
            <w:color w:val="0000FF"/>
          </w:rPr>
          <w:t>пункт 26.4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8. Наличие сведений об источниках информации для каждого ценообразующего фактора (</w:t>
      </w:r>
      <w:hyperlink r:id="rId15">
        <w:r>
          <w:rPr>
            <w:color w:val="0000FF"/>
          </w:rPr>
          <w:t>пункт 31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9. Наличие информации о согласовании сведений о фактическом использовании объектов недвижимости, подлежащих государственной кадастровой оценке, в случае проведения такого согласования (</w:t>
      </w:r>
      <w:hyperlink r:id="rId16">
        <w:r>
          <w:rPr>
            <w:color w:val="0000FF"/>
          </w:rPr>
          <w:t>пункт 23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10. Наличие кодов расчета видов использования для земельных участков (</w:t>
      </w:r>
      <w:hyperlink r:id="rId17">
        <w:r>
          <w:rPr>
            <w:color w:val="0000FF"/>
          </w:rPr>
          <w:t>пункт 56.2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 xml:space="preserve">11. Наличие обоснования отнесения объектов недвижимости к соответствующим группам (подгруппам; </w:t>
      </w:r>
      <w:hyperlink r:id="rId18">
        <w:r>
          <w:rPr>
            <w:color w:val="0000FF"/>
          </w:rPr>
          <w:t>глава IX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spacing w:before="200"/>
        <w:ind w:firstLine="540"/>
        <w:jc w:val="both"/>
      </w:pPr>
      <w:r>
        <w:t>12. Наличие информации о контроле качества результатов определения кадастровой стоимости (</w:t>
      </w:r>
      <w:hyperlink r:id="rId19">
        <w:r>
          <w:rPr>
            <w:color w:val="0000FF"/>
          </w:rPr>
          <w:t>глава XI</w:t>
        </w:r>
      </w:hyperlink>
      <w:r>
        <w:t xml:space="preserve"> Методических указаний).</w:t>
      </w:r>
    </w:p>
    <w:p w:rsidR="006D55F7" w:rsidRDefault="006D55F7">
      <w:pPr>
        <w:pStyle w:val="ConsPlusNormal"/>
        <w:ind w:firstLine="540"/>
        <w:jc w:val="both"/>
      </w:pPr>
    </w:p>
    <w:p w:rsidR="00BC3628" w:rsidRDefault="00BC3628"/>
    <w:sectPr w:rsidR="00BC3628" w:rsidSect="00CA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F7"/>
    <w:rsid w:val="006D55F7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2AF"/>
  <w15:chartTrackingRefBased/>
  <w15:docId w15:val="{29094116-0D5A-46C8-8552-84BE18F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55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5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AEA662C42E28DED59246B87B64B3D642D6DA0C4A7FEA59A975099ACEF7894CF166D55C2B1FB9890F9BCF248D25A085D72894A2D423131G3a5M" TargetMode="External"/><Relationship Id="rId13" Type="http://schemas.openxmlformats.org/officeDocument/2006/relationships/hyperlink" Target="consultantplus://offline/ref=18EAEA662C42E28DED59246B87B64B3D642D6DA0C4A7FEA59A975099ACEF7894CF166D55C2B1FA989BF9BCF248D25A085D72894A2D423131G3a5M" TargetMode="External"/><Relationship Id="rId18" Type="http://schemas.openxmlformats.org/officeDocument/2006/relationships/hyperlink" Target="consultantplus://offline/ref=18EAEA662C42E28DED59246B87B64B3D642D6DA0C4A7FEA59A975099ACEF7894CF166D55C2B1FF9994F9BCF248D25A085D72894A2D423131G3a5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EAEA662C42E28DED59246B87B64B3D642D6DA0C4A7FEA59A975099ACEF7894CF166D55C2B1FB9B93F9BCF248D25A085D72894A2D423131G3a5M" TargetMode="External"/><Relationship Id="rId12" Type="http://schemas.openxmlformats.org/officeDocument/2006/relationships/hyperlink" Target="consultantplus://offline/ref=18EAEA662C42E28DED59246B87B64B3D642D6DA0C4A7FEA59A975099ACEF7894CF166D55C2B1FA9B90F9BCF248D25A085D72894A2D423131G3a5M" TargetMode="External"/><Relationship Id="rId17" Type="http://schemas.openxmlformats.org/officeDocument/2006/relationships/hyperlink" Target="consultantplus://offline/ref=18EAEA662C42E28DED59246B87B64B3D642D6DA0C4A7FEA59A975099ACEF7894CF166D55C2B1FF9D90F9BCF248D25A085D72894A2D423131G3a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EAEA662C42E28DED59246B87B64B3D642D6DA0C4A7FEA59A975099ACEF7894CF166D55C2B1FB9392F9BCF248D25A085D72894A2D423131G3a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AEA662C42E28DED59246B87B64B3D632B6DA1C0A5FEA59A975099ACEF7894DD163559C2B8E59A9AECEAA30EG8a5M" TargetMode="External"/><Relationship Id="rId11" Type="http://schemas.openxmlformats.org/officeDocument/2006/relationships/hyperlink" Target="consultantplus://offline/ref=18EAEA662C42E28DED59246B87B64B3D642D6DA0C4A7FEA59A975099ACEF7894CF166D55C2B1FB9C93F9BCF248D25A085D72894A2D423131G3a5M" TargetMode="External"/><Relationship Id="rId5" Type="http://schemas.openxmlformats.org/officeDocument/2006/relationships/hyperlink" Target="consultantplus://offline/ref=18EAEA662C42E28DED59246B87B64B3D642F6EA1C0A0FEA59A975099ACEF7894CF166D55C3B6F0CEC3B6BDAE0C8E49085C728B4231G4a2M" TargetMode="External"/><Relationship Id="rId15" Type="http://schemas.openxmlformats.org/officeDocument/2006/relationships/hyperlink" Target="consultantplus://offline/ref=18EAEA662C42E28DED59246B87B64B3D642D6DA0C4A7FEA59A975099ACEF7894CF166D55C2B1F99B93F9BCF248D25A085D72894A2D423131G3a5M" TargetMode="External"/><Relationship Id="rId10" Type="http://schemas.openxmlformats.org/officeDocument/2006/relationships/hyperlink" Target="consultantplus://offline/ref=18EAEA662C42E28DED59246B87B64B3D642D6DA0C4A7FEA59A975099ACEF7894CF166D55C2B1FB9895F9BCF248D25A085D72894A2D423131G3a5M" TargetMode="External"/><Relationship Id="rId19" Type="http://schemas.openxmlformats.org/officeDocument/2006/relationships/hyperlink" Target="consultantplus://offline/ref=18EAEA662C42E28DED59246B87B64B3D642D6DA0C4A7FEA59A975099ACEF7894CF166D55C2B1FD9895F9BCF248D25A085D72894A2D423131G3a5M" TargetMode="External"/><Relationship Id="rId4" Type="http://schemas.openxmlformats.org/officeDocument/2006/relationships/hyperlink" Target="consultantplus://offline/ref=18EAEA662C42E28DED59246B87B64B3D642D6BA1C7A3FEA59A975099ACEF7894CF166D55C4B9F0CEC3B6BDAE0C8E49085C728B4231G4a2M" TargetMode="External"/><Relationship Id="rId9" Type="http://schemas.openxmlformats.org/officeDocument/2006/relationships/hyperlink" Target="consultantplus://offline/ref=18EAEA662C42E28DED59246B87B64B3D642D6DA0C4A7FEA59A975099ACEF7894CF166D55C2B1FB9894F9BCF248D25A085D72894A2D423131G3a5M" TargetMode="External"/><Relationship Id="rId14" Type="http://schemas.openxmlformats.org/officeDocument/2006/relationships/hyperlink" Target="consultantplus://offline/ref=18EAEA662C42E28DED59246B87B64B3D642D6DA0C4A7FEA59A975099ACEF7894CF166D55C2B1FA9C91F9BCF248D25A085D72894A2D423131G3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Сербин Дмитрий Сергеевич</cp:lastModifiedBy>
  <cp:revision>1</cp:revision>
  <dcterms:created xsi:type="dcterms:W3CDTF">2022-08-09T12:26:00Z</dcterms:created>
  <dcterms:modified xsi:type="dcterms:W3CDTF">2022-08-09T12:27:00Z</dcterms:modified>
</cp:coreProperties>
</file>